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D9B" w:rsidRPr="000A7D9B" w:rsidRDefault="000A7D9B" w:rsidP="000A7D9B">
      <w:pPr>
        <w:rPr>
          <w:rFonts w:cstheme="minorHAnsi"/>
        </w:rPr>
      </w:pPr>
      <w:r w:rsidRPr="000A7D9B">
        <w:rPr>
          <w:rFonts w:cstheme="minorHAnsi"/>
          <w:b/>
          <w:bCs/>
        </w:rPr>
        <w:t>Цель.</w:t>
      </w:r>
      <w:r w:rsidRPr="000A7D9B">
        <w:rPr>
          <w:rFonts w:cstheme="minorHAnsi"/>
        </w:rPr>
        <w:t xml:space="preserve"> Изучить динамику показателей диастолической функции левого желудочка (ДФ ЛЖ) у больных с I –III функциональным классом (ФК) хронической сердечной недостаточностью (ХСН) на фоне лечения лизиноприлом и лозартаном в зависимости от степени дисфункции почек (ДП).</w:t>
      </w:r>
    </w:p>
    <w:p w:rsidR="000A7D9B" w:rsidRPr="000A7D9B" w:rsidRDefault="000A7D9B" w:rsidP="000A7D9B">
      <w:pPr>
        <w:rPr>
          <w:rFonts w:cstheme="minorHAnsi"/>
        </w:rPr>
      </w:pPr>
      <w:r w:rsidRPr="000A7D9B">
        <w:rPr>
          <w:rFonts w:cstheme="minorHAnsi"/>
          <w:b/>
          <w:bCs/>
        </w:rPr>
        <w:t>Материал и методы</w:t>
      </w:r>
      <w:r w:rsidRPr="000A7D9B">
        <w:rPr>
          <w:rFonts w:cstheme="minorHAnsi"/>
        </w:rPr>
        <w:t>. Всего было обследовано 223 больных с ишемической болезнью сердца с I –III ФК ХСН исходно и через 6 месяцев лечения. Первую группу (I) составили 118 больных с I –III ФК ХСН, принимавшие в составе стандартной</w:t>
      </w:r>
      <w:r>
        <w:rPr>
          <w:rFonts w:cstheme="minorHAnsi"/>
        </w:rPr>
        <w:t xml:space="preserve"> </w:t>
      </w:r>
      <w:r w:rsidRPr="000A7D9B">
        <w:rPr>
          <w:rFonts w:cstheme="minorHAnsi"/>
        </w:rPr>
        <w:t>терапии — лизиноприл; вторую группу (II) — 105 больных с I –III ФК ХСН — лозартан, (средняя доза лизиноприла составила</w:t>
      </w:r>
      <w:r>
        <w:rPr>
          <w:rFonts w:cstheme="minorHAnsi"/>
        </w:rPr>
        <w:t xml:space="preserve"> </w:t>
      </w:r>
      <w:r w:rsidRPr="000A7D9B">
        <w:rPr>
          <w:rFonts w:cstheme="minorHAnsi"/>
        </w:rPr>
        <w:t>7,8±2,6, лозартана — 76,3±25,6 мг/сут). Всем пациентам проводили: эхокардиографию с допплерографией, определяли расчетную скорость клубочковой фильтрации по формуле MDRD (рСКФ). Больные были распределены в зависимости от рСКФ:</w:t>
      </w:r>
      <w:r>
        <w:rPr>
          <w:rFonts w:cstheme="minorHAnsi"/>
        </w:rPr>
        <w:t xml:space="preserve"> </w:t>
      </w:r>
      <w:r w:rsidRPr="000A7D9B">
        <w:rPr>
          <w:rFonts w:cstheme="minorHAnsi"/>
        </w:rPr>
        <w:t>30&lt;рСКФ≤60 мл/мин/1,73 м</w:t>
      </w:r>
      <w:r w:rsidRPr="000A7D9B">
        <w:rPr>
          <w:vertAlign w:val="superscript"/>
        </w:rPr>
        <w:t>2</w:t>
      </w:r>
      <w:r w:rsidRPr="000A7D9B">
        <w:rPr>
          <w:rFonts w:cstheme="minorHAnsi"/>
        </w:rPr>
        <w:t>–67 больных, и рСКФ&gt;60 мл/мин/1,73 м</w:t>
      </w:r>
      <w:r w:rsidRPr="000A7D9B">
        <w:rPr>
          <w:vertAlign w:val="superscript"/>
        </w:rPr>
        <w:t>2</w:t>
      </w:r>
      <w:r w:rsidRPr="000A7D9B">
        <w:rPr>
          <w:rFonts w:cstheme="minorHAnsi"/>
        </w:rPr>
        <w:t>–156 больных.</w:t>
      </w:r>
    </w:p>
    <w:p w:rsidR="000A7D9B" w:rsidRPr="000A7D9B" w:rsidRDefault="000A7D9B" w:rsidP="000A7D9B">
      <w:pPr>
        <w:rPr>
          <w:rFonts w:cstheme="minorHAnsi"/>
        </w:rPr>
      </w:pPr>
      <w:r w:rsidRPr="000A7D9B">
        <w:rPr>
          <w:rFonts w:cstheme="minorHAnsi"/>
          <w:b/>
          <w:bCs/>
        </w:rPr>
        <w:t>Результаты.</w:t>
      </w:r>
      <w:r w:rsidRPr="000A7D9B">
        <w:rPr>
          <w:rFonts w:cstheme="minorHAnsi"/>
        </w:rPr>
        <w:t xml:space="preserve"> Анализ исходных показателей ДФ у больных ХСН выявил диастолическую дисфункцию (ДД) у 81,8 % больных ХСН, с преобладанием нарушений по типу замедленной релаксации у 59,3 % больных. Выявлена зависимость между</w:t>
      </w:r>
      <w:r>
        <w:rPr>
          <w:rFonts w:cstheme="minorHAnsi"/>
        </w:rPr>
        <w:t xml:space="preserve"> </w:t>
      </w:r>
      <w:r w:rsidRPr="000A7D9B">
        <w:rPr>
          <w:rFonts w:cstheme="minorHAnsi"/>
        </w:rPr>
        <w:t>показателями ДФ и рСКФ: у больных с рСКФ≤60 мл/мин/1,73 м</w:t>
      </w:r>
      <w:r w:rsidRPr="000A7D9B">
        <w:rPr>
          <w:vertAlign w:val="superscript"/>
        </w:rPr>
        <w:t>2</w:t>
      </w:r>
      <w:r w:rsidRPr="000A7D9B">
        <w:rPr>
          <w:rFonts w:cstheme="minorHAnsi"/>
          <w:sz w:val="10"/>
          <w:szCs w:val="10"/>
        </w:rPr>
        <w:t xml:space="preserve"> </w:t>
      </w:r>
      <w:r w:rsidRPr="000A7D9B">
        <w:rPr>
          <w:rFonts w:cstheme="minorHAnsi"/>
        </w:rPr>
        <w:t>— скорость Е на 6,8 % (р&lt;0,05) была достоверно ниже, чем</w:t>
      </w:r>
      <w:r>
        <w:rPr>
          <w:rFonts w:cstheme="minorHAnsi"/>
        </w:rPr>
        <w:t xml:space="preserve"> </w:t>
      </w:r>
      <w:r w:rsidRPr="000A7D9B">
        <w:rPr>
          <w:rFonts w:cstheme="minorHAnsi"/>
        </w:rPr>
        <w:t>у больных с рСКФ&gt;60 мл/мин/1,73 м</w:t>
      </w:r>
      <w:r w:rsidRPr="000A7D9B">
        <w:rPr>
          <w:vertAlign w:val="superscript"/>
        </w:rPr>
        <w:t>2</w:t>
      </w:r>
      <w:r w:rsidRPr="000A7D9B">
        <w:rPr>
          <w:rFonts w:cstheme="minorHAnsi"/>
        </w:rPr>
        <w:t>; отмечена средняя положительная корреляционная зависимость между рСКФ и скоростью Е. У больных после лечения отмечено улучшение ДФ ЛЖ с преимуществом в группе лозартана. У больных с рСКФ≤60</w:t>
      </w:r>
      <w:r>
        <w:rPr>
          <w:rFonts w:cstheme="minorHAnsi"/>
        </w:rPr>
        <w:t xml:space="preserve"> </w:t>
      </w:r>
      <w:r w:rsidRPr="000A7D9B">
        <w:rPr>
          <w:rFonts w:cstheme="minorHAnsi"/>
        </w:rPr>
        <w:t>мл/мин/1,73 м</w:t>
      </w:r>
      <w:r w:rsidRPr="000A7D9B">
        <w:rPr>
          <w:rFonts w:cstheme="minorHAnsi"/>
          <w:sz w:val="10"/>
          <w:szCs w:val="10"/>
        </w:rPr>
        <w:t xml:space="preserve">2 </w:t>
      </w:r>
      <w:r w:rsidRPr="000A7D9B">
        <w:rPr>
          <w:rFonts w:cstheme="minorHAnsi"/>
        </w:rPr>
        <w:t>первой и второй группы на фоне лечения скорость Е увеличилась на 14,8 % и 15,7 % (р&lt;0,02) соответственно;</w:t>
      </w:r>
      <w:r>
        <w:rPr>
          <w:rFonts w:cstheme="minorHAnsi"/>
        </w:rPr>
        <w:t xml:space="preserve"> </w:t>
      </w:r>
      <w:r w:rsidRPr="000A7D9B">
        <w:rPr>
          <w:rFonts w:cstheme="minorHAnsi"/>
        </w:rPr>
        <w:t>у больных с рСКФ&gt;60 мл/мин/1,73 м</w:t>
      </w:r>
      <w:r w:rsidRPr="000A7D9B">
        <w:rPr>
          <w:vertAlign w:val="superscript"/>
        </w:rPr>
        <w:t>2</w:t>
      </w:r>
      <w:r w:rsidRPr="000A7D9B">
        <w:rPr>
          <w:rFonts w:cstheme="minorHAnsi"/>
          <w:sz w:val="10"/>
          <w:szCs w:val="10"/>
        </w:rPr>
        <w:t xml:space="preserve"> </w:t>
      </w:r>
      <w:r w:rsidRPr="000A7D9B">
        <w:rPr>
          <w:rFonts w:cstheme="minorHAnsi"/>
        </w:rPr>
        <w:t>отмечалась тенденция к увеличению Е на 2,7 % и 7,5 % соответственно по сравнению</w:t>
      </w:r>
      <w:r>
        <w:rPr>
          <w:rFonts w:cstheme="minorHAnsi"/>
        </w:rPr>
        <w:t xml:space="preserve"> </w:t>
      </w:r>
      <w:r w:rsidRPr="000A7D9B">
        <w:rPr>
          <w:rFonts w:cstheme="minorHAnsi"/>
        </w:rPr>
        <w:t>с исходными показателями.</w:t>
      </w:r>
    </w:p>
    <w:p w:rsidR="000A7D9B" w:rsidRPr="000A7D9B" w:rsidRDefault="000A7D9B" w:rsidP="000A7D9B">
      <w:pPr>
        <w:rPr>
          <w:rFonts w:cstheme="minorHAnsi"/>
        </w:rPr>
      </w:pPr>
      <w:r w:rsidRPr="000A7D9B">
        <w:rPr>
          <w:rFonts w:cstheme="minorHAnsi"/>
          <w:b/>
          <w:bCs/>
        </w:rPr>
        <w:t>Заключение.</w:t>
      </w:r>
      <w:r w:rsidRPr="000A7D9B">
        <w:rPr>
          <w:rFonts w:cstheme="minorHAnsi"/>
        </w:rPr>
        <w:t xml:space="preserve"> ДД наблюдалась у 81,8 % больных ХСН, с преобладанием нарушения по типу замедленной релаксации.</w:t>
      </w:r>
      <w:r>
        <w:rPr>
          <w:rFonts w:cstheme="minorHAnsi"/>
        </w:rPr>
        <w:t xml:space="preserve"> </w:t>
      </w:r>
      <w:bookmarkStart w:id="0" w:name="_GoBack"/>
      <w:bookmarkEnd w:id="0"/>
      <w:r w:rsidRPr="000A7D9B">
        <w:rPr>
          <w:rFonts w:cstheme="minorHAnsi"/>
        </w:rPr>
        <w:t>Выявлена зависимость между показателями ДФ и рСКФ. У больных с I –III ФК ХСН после лечения было отмечено улучшение</w:t>
      </w:r>
      <w:r>
        <w:rPr>
          <w:rFonts w:cstheme="minorHAnsi"/>
        </w:rPr>
        <w:t xml:space="preserve"> </w:t>
      </w:r>
      <w:r w:rsidRPr="000A7D9B">
        <w:rPr>
          <w:rFonts w:cstheme="minorHAnsi"/>
        </w:rPr>
        <w:t>показателей ДФ ЛЖ с преимуществом в группе лозартана. У больных с рСКФ≤60 мл/мин/1,73 м</w:t>
      </w:r>
      <w:r w:rsidRPr="000A7D9B">
        <w:rPr>
          <w:vertAlign w:val="superscript"/>
        </w:rPr>
        <w:t xml:space="preserve">2 </w:t>
      </w:r>
      <w:r w:rsidRPr="000A7D9B">
        <w:rPr>
          <w:rFonts w:cstheme="minorHAnsi"/>
        </w:rPr>
        <w:t>на фоне лечения в обеих</w:t>
      </w:r>
      <w:r>
        <w:rPr>
          <w:rFonts w:cstheme="minorHAnsi"/>
        </w:rPr>
        <w:t xml:space="preserve"> </w:t>
      </w:r>
      <w:r w:rsidRPr="000A7D9B">
        <w:rPr>
          <w:rFonts w:cstheme="minorHAnsi"/>
        </w:rPr>
        <w:t>группах больных отмечалось достоверное увеличение скорости Е.</w:t>
      </w:r>
    </w:p>
    <w:p w:rsidR="00374759" w:rsidRPr="000A7D9B" w:rsidRDefault="000A7D9B" w:rsidP="000A7D9B">
      <w:pPr>
        <w:rPr>
          <w:rFonts w:cstheme="minorHAnsi"/>
        </w:rPr>
      </w:pPr>
      <w:r w:rsidRPr="000A7D9B">
        <w:rPr>
          <w:rFonts w:cstheme="minorHAnsi"/>
          <w:b/>
          <w:bCs/>
        </w:rPr>
        <w:t>Ключевые слова:</w:t>
      </w:r>
      <w:r w:rsidRPr="000A7D9B">
        <w:rPr>
          <w:rFonts w:cstheme="minorHAnsi"/>
        </w:rPr>
        <w:t xml:space="preserve"> хроническая сердечная недостаточность, диастолическая функция левого желудочка, дисфункция</w:t>
      </w:r>
      <w:r>
        <w:rPr>
          <w:rFonts w:cstheme="minorHAnsi"/>
        </w:rPr>
        <w:t xml:space="preserve"> </w:t>
      </w:r>
      <w:r w:rsidRPr="000A7D9B">
        <w:rPr>
          <w:rFonts w:cstheme="minorHAnsi"/>
        </w:rPr>
        <w:t>почек.</w:t>
      </w:r>
    </w:p>
    <w:sectPr w:rsidR="00374759" w:rsidRPr="000A7D9B" w:rsidSect="00351922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-Italic">
    <w:panose1 w:val="020B0504020101020102"/>
    <w:charset w:val="00"/>
    <w:family w:val="swiss"/>
    <w:notTrueType/>
    <w:pitch w:val="variable"/>
    <w:sig w:usb0="A00002BF" w:usb1="4000207B" w:usb2="0000000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D9B"/>
    <w:rsid w:val="000A7D9B"/>
    <w:rsid w:val="00374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49E394"/>
  <w15:chartTrackingRefBased/>
  <w15:docId w15:val="{229D9A93-2CA6-4FE6-A623-BD7C80FBE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adText">
    <w:name w:val="LeadText (СТАРТ)"/>
    <w:basedOn w:val="a"/>
    <w:next w:val="a"/>
    <w:uiPriority w:val="99"/>
    <w:rsid w:val="000A7D9B"/>
    <w:pPr>
      <w:shd w:val="clear" w:color="auto" w:fill="000000"/>
      <w:autoSpaceDE w:val="0"/>
      <w:autoSpaceDN w:val="0"/>
      <w:adjustRightInd w:val="0"/>
      <w:spacing w:after="0" w:line="280" w:lineRule="atLeast"/>
      <w:ind w:left="113" w:right="113"/>
      <w:jc w:val="both"/>
      <w:textAlignment w:val="center"/>
    </w:pPr>
    <w:rPr>
      <w:rFonts w:ascii="DINPro-Italic" w:hAnsi="DINPro-Italic" w:cs="DINPro-Italic"/>
      <w:i/>
      <w:iCs/>
      <w:color w:val="000000"/>
      <w:sz w:val="18"/>
      <w:szCs w:val="18"/>
    </w:rPr>
  </w:style>
  <w:style w:type="character" w:customStyle="1" w:styleId="sup">
    <w:name w:val="sup"/>
    <w:uiPriority w:val="99"/>
    <w:rsid w:val="000A7D9B"/>
    <w:rPr>
      <w:vertAlign w:val="superscript"/>
    </w:rPr>
  </w:style>
  <w:style w:type="character" w:customStyle="1" w:styleId="Italic">
    <w:name w:val="Italic"/>
    <w:uiPriority w:val="99"/>
    <w:rsid w:val="000A7D9B"/>
    <w:rPr>
      <w:i/>
      <w:iCs/>
      <w:u w:val="none"/>
      <w:vertAlign w:val="baseline"/>
    </w:rPr>
  </w:style>
  <w:style w:type="character" w:customStyle="1" w:styleId="black">
    <w:name w:val="black"/>
    <w:uiPriority w:val="99"/>
    <w:rsid w:val="000A7D9B"/>
  </w:style>
  <w:style w:type="character" w:customStyle="1" w:styleId="Sub">
    <w:name w:val="Sub"/>
    <w:uiPriority w:val="99"/>
    <w:rsid w:val="000A7D9B"/>
    <w:rPr>
      <w:vertAlign w:val="sub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335</Words>
  <Characters>1912</Characters>
  <Application>Microsoft Office Word</Application>
  <DocSecurity>0</DocSecurity>
  <Lines>15</Lines>
  <Paragraphs>4</Paragraphs>
  <ScaleCrop>false</ScaleCrop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1</cp:revision>
  <dcterms:created xsi:type="dcterms:W3CDTF">2020-02-14T16:17:00Z</dcterms:created>
  <dcterms:modified xsi:type="dcterms:W3CDTF">2020-02-14T16:25:00Z</dcterms:modified>
</cp:coreProperties>
</file>